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CC996" w14:textId="77777777" w:rsidR="0030663F" w:rsidRDefault="0030663F" w:rsidP="0030663F">
      <w:pPr>
        <w:spacing w:after="200" w:line="276" w:lineRule="auto"/>
        <w:rPr>
          <w:rFonts w:eastAsia="Times New Roman" w:cs="Times New Roman"/>
          <w:b/>
          <w:sz w:val="24"/>
          <w:szCs w:val="24"/>
        </w:rPr>
      </w:pPr>
    </w:p>
    <w:p w14:paraId="13CB6D62" w14:textId="03E6C92E" w:rsidR="0030663F" w:rsidRDefault="009D03B6" w:rsidP="001D0ACE">
      <w:pPr>
        <w:spacing w:after="200" w:line="276" w:lineRule="auto"/>
        <w:jc w:val="center"/>
        <w:rPr>
          <w:rFonts w:eastAsia="Times New Roman" w:cs="Times New Roman"/>
          <w:b/>
          <w:sz w:val="24"/>
          <w:szCs w:val="24"/>
        </w:rPr>
      </w:pPr>
      <w:r>
        <w:rPr>
          <w:rFonts w:ascii="Calibri" w:hAnsi="Calibri"/>
          <w:b/>
          <w:noProof/>
          <w:lang w:eastAsia="nl-NL"/>
        </w:rPr>
        <w:drawing>
          <wp:inline distT="0" distB="0" distL="0" distR="0" wp14:anchorId="03FE7DD4" wp14:editId="552DE4A3">
            <wp:extent cx="1372235" cy="1270047"/>
            <wp:effectExtent l="25400" t="0" r="0" b="0"/>
            <wp:docPr id="6" name="Afbeelding 6" descr=":::Blink:Logo's:A1_Logo Retailagenda_NW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k:Logo's:A1_Logo Retailagenda_NW (klein).jpg"/>
                    <pic:cNvPicPr>
                      <a:picLocks noChangeAspect="1" noChangeArrowheads="1"/>
                    </pic:cNvPicPr>
                  </pic:nvPicPr>
                  <pic:blipFill>
                    <a:blip r:embed="rId5"/>
                    <a:srcRect/>
                    <a:stretch>
                      <a:fillRect/>
                    </a:stretch>
                  </pic:blipFill>
                  <pic:spPr bwMode="auto">
                    <a:xfrm>
                      <a:off x="0" y="0"/>
                      <a:ext cx="1384219" cy="1281138"/>
                    </a:xfrm>
                    <a:prstGeom prst="rect">
                      <a:avLst/>
                    </a:prstGeom>
                    <a:noFill/>
                    <a:ln w="9525">
                      <a:noFill/>
                      <a:miter lim="800000"/>
                      <a:headEnd/>
                      <a:tailEnd/>
                    </a:ln>
                  </pic:spPr>
                </pic:pic>
              </a:graphicData>
            </a:graphic>
          </wp:inline>
        </w:drawing>
      </w:r>
    </w:p>
    <w:p w14:paraId="7E3001EB" w14:textId="3D0DDA85" w:rsidR="009D03B6" w:rsidRPr="00AA0F33" w:rsidRDefault="0030663F" w:rsidP="00AA0F33">
      <w:pPr>
        <w:rPr>
          <w:rFonts w:ascii="Calibri" w:hAnsi="Calibri"/>
          <w:noProof/>
          <w:sz w:val="20"/>
          <w:szCs w:val="20"/>
          <w:lang w:eastAsia="nl-NL"/>
        </w:rPr>
      </w:pPr>
      <w:r>
        <w:rPr>
          <w:rFonts w:eastAsia="Times New Roman" w:cs="Times New Roman"/>
          <w:b/>
          <w:sz w:val="24"/>
          <w:szCs w:val="24"/>
        </w:rPr>
        <w:t>V</w:t>
      </w:r>
      <w:r w:rsidRPr="00043931">
        <w:rPr>
          <w:rFonts w:eastAsia="Times New Roman" w:cs="Times New Roman"/>
          <w:b/>
          <w:sz w:val="24"/>
          <w:szCs w:val="24"/>
        </w:rPr>
        <w:t xml:space="preserve">aststelling uniforme definities </w:t>
      </w:r>
      <w:r>
        <w:rPr>
          <w:rFonts w:eastAsia="Times New Roman" w:cs="Times New Roman"/>
          <w:b/>
          <w:sz w:val="24"/>
          <w:szCs w:val="24"/>
        </w:rPr>
        <w:t>oppervlakten winkels en andere publieksfuncties</w:t>
      </w:r>
      <w:r w:rsidR="009D03B6">
        <w:rPr>
          <w:rFonts w:eastAsia="Times New Roman" w:cs="Times New Roman"/>
          <w:b/>
          <w:sz w:val="24"/>
          <w:szCs w:val="24"/>
        </w:rPr>
        <w:t>.</w:t>
      </w:r>
      <w:r w:rsidR="001D0ACE">
        <w:rPr>
          <w:rFonts w:eastAsia="Times New Roman" w:cs="Times New Roman"/>
          <w:b/>
          <w:sz w:val="24"/>
          <w:szCs w:val="24"/>
        </w:rPr>
        <w:br/>
      </w:r>
      <w:bookmarkStart w:id="0" w:name="_GoBack"/>
      <w:bookmarkEnd w:id="0"/>
      <w:r w:rsidR="00AA0F33">
        <w:rPr>
          <w:rFonts w:ascii="Calibri" w:hAnsi="Calibri"/>
          <w:noProof/>
          <w:sz w:val="20"/>
          <w:szCs w:val="20"/>
          <w:lang w:eastAsia="nl-NL"/>
        </w:rPr>
        <w:br/>
      </w:r>
    </w:p>
    <w:tbl>
      <w:tblPr>
        <w:tblStyle w:val="Tabelraster"/>
        <w:tblW w:w="0" w:type="auto"/>
        <w:tblLook w:val="04A0" w:firstRow="1" w:lastRow="0" w:firstColumn="1" w:lastColumn="0" w:noHBand="0" w:noVBand="1"/>
      </w:tblPr>
      <w:tblGrid>
        <w:gridCol w:w="9062"/>
      </w:tblGrid>
      <w:tr w:rsidR="00F96820" w14:paraId="64C78D04" w14:textId="77777777" w:rsidTr="009D03B6">
        <w:tc>
          <w:tcPr>
            <w:tcW w:w="9062" w:type="dxa"/>
          </w:tcPr>
          <w:p w14:paraId="0CA30370" w14:textId="7E345DBA" w:rsidR="00F96820" w:rsidRPr="00F96820" w:rsidRDefault="00F96820" w:rsidP="009D03B6">
            <w:pPr>
              <w:rPr>
                <w:rFonts w:ascii="Calibri" w:hAnsi="Calibri"/>
                <w:sz w:val="20"/>
                <w:szCs w:val="20"/>
              </w:rPr>
            </w:pPr>
            <w:r w:rsidRPr="0014597D">
              <w:rPr>
                <w:rFonts w:ascii="Calibri" w:hAnsi="Calibri"/>
                <w:b/>
                <w:bCs/>
                <w:sz w:val="20"/>
                <w:szCs w:val="20"/>
              </w:rPr>
              <w:t>Bruto Vloeroppervlak (BVO): NEN 2580</w:t>
            </w:r>
          </w:p>
        </w:tc>
      </w:tr>
      <w:tr w:rsidR="009D03B6" w14:paraId="14AD6EE5" w14:textId="77777777" w:rsidTr="009D03B6">
        <w:tc>
          <w:tcPr>
            <w:tcW w:w="9062" w:type="dxa"/>
          </w:tcPr>
          <w:p w14:paraId="66FC800C" w14:textId="77777777" w:rsidR="009D03B6" w:rsidRPr="0014597D" w:rsidRDefault="009D03B6" w:rsidP="009D03B6">
            <w:pPr>
              <w:rPr>
                <w:rFonts w:ascii="Calibri" w:hAnsi="Calibri"/>
                <w:sz w:val="20"/>
                <w:szCs w:val="20"/>
              </w:rPr>
            </w:pPr>
            <w:r w:rsidRPr="0014597D">
              <w:rPr>
                <w:rFonts w:ascii="Calibri" w:hAnsi="Calibri"/>
                <w:sz w:val="20"/>
                <w:szCs w:val="20"/>
              </w:rPr>
              <w:t>Dit betreft de vloeroppervlakte van de ruimte, dan wel van meerdere ruimten van een vastgoedobject gemeten (volgens NEN 2580) op vloerniveau langs de buitenomtrek van de (buitenste) opgaande scheidingsconstructie, die de desbetreffende ruimte(n) omhullen. Ter aanvulling op bovenstaande geldt het volgende:</w:t>
            </w:r>
          </w:p>
          <w:p w14:paraId="7FC937CE" w14:textId="77777777" w:rsidR="009D03B6" w:rsidRPr="0014597D" w:rsidRDefault="009D03B6" w:rsidP="009D03B6">
            <w:pPr>
              <w:rPr>
                <w:rFonts w:ascii="Calibri" w:hAnsi="Calibri"/>
                <w:sz w:val="20"/>
                <w:szCs w:val="20"/>
              </w:rPr>
            </w:pPr>
            <w:r w:rsidRPr="0014597D">
              <w:rPr>
                <w:rFonts w:ascii="Calibri" w:hAnsi="Calibri"/>
                <w:sz w:val="20"/>
                <w:szCs w:val="20"/>
              </w:rPr>
              <w:t xml:space="preserve">Indien een binnenruimte aan een andere binnenruimte grenst, moet worden gemeten tot het hart van de betreffende scheidingsconstructie. </w:t>
            </w:r>
            <w:r>
              <w:rPr>
                <w:rFonts w:ascii="Calibri" w:hAnsi="Calibri"/>
                <w:sz w:val="20"/>
                <w:szCs w:val="20"/>
              </w:rPr>
              <w:br/>
            </w:r>
            <w:r>
              <w:rPr>
                <w:rFonts w:ascii="Calibri" w:hAnsi="Calibri"/>
                <w:sz w:val="20"/>
                <w:szCs w:val="20"/>
              </w:rPr>
              <w:br/>
            </w:r>
            <w:r w:rsidRPr="0014597D">
              <w:rPr>
                <w:rFonts w:ascii="Calibri" w:hAnsi="Calibri"/>
                <w:sz w:val="20"/>
                <w:szCs w:val="20"/>
              </w:rPr>
              <w:t xml:space="preserve">Indien een gebouwgebonden buitenruimte aan een binnenruimte grenst, moet het grondvlak van de scheidingsconstructie volledig worden toegerekend aan de bruto-vloeroppervlakte van de binnenruimte. </w:t>
            </w:r>
          </w:p>
          <w:p w14:paraId="656EC5CE" w14:textId="77777777" w:rsidR="009D03B6" w:rsidRPr="0014597D" w:rsidRDefault="009D03B6" w:rsidP="009D03B6">
            <w:pPr>
              <w:rPr>
                <w:rFonts w:ascii="Calibri" w:hAnsi="Calibri"/>
                <w:sz w:val="20"/>
                <w:szCs w:val="20"/>
              </w:rPr>
            </w:pPr>
            <w:r w:rsidRPr="0014597D">
              <w:rPr>
                <w:rFonts w:ascii="Calibri" w:hAnsi="Calibri"/>
                <w:sz w:val="20"/>
                <w:szCs w:val="20"/>
              </w:rPr>
              <w:t>De BVO van een overdekte gebouwgebonden buitenruimte, die niet of slechts gedeeltelijk omsloten is en daardoor geen vaste buitenbegrenzing heeft, is gelijk aan de verticale projectie van het overdekkende bouwdeel, ongeacht de vloerconstructie of de wijze van verharding. Bij de bepaling van de BVO wordt niet meegerekend; een schalmgat of een vide, indien het grondvlak daarvan groter is dan 4 m2. Bij bepaling van de grenslijn, moet een incidentele nis of uitsparing en een incidenteel uitspringend bouwdeel worden genegeerd, indien het grondvlak daarvan kleiner is dan 0,5 m².</w:t>
            </w:r>
          </w:p>
          <w:p w14:paraId="65A7664C" w14:textId="77777777" w:rsidR="009D03B6" w:rsidRPr="0014597D" w:rsidRDefault="009D03B6" w:rsidP="009D03B6">
            <w:pPr>
              <w:rPr>
                <w:rFonts w:ascii="Calibri" w:hAnsi="Calibri"/>
                <w:sz w:val="20"/>
                <w:szCs w:val="20"/>
              </w:rPr>
            </w:pPr>
            <w:r w:rsidRPr="009D03B6">
              <w:rPr>
                <w:rFonts w:ascii="Calibri" w:hAnsi="Calibri"/>
                <w:sz w:val="20"/>
                <w:szCs w:val="20"/>
              </w:rPr>
              <w:t>Bruto-vloeroppervlakte van een gebouw</w:t>
            </w:r>
            <w:r w:rsidRPr="009D03B6">
              <w:rPr>
                <w:rFonts w:ascii="Calibri" w:hAnsi="Calibri"/>
                <w:sz w:val="20"/>
                <w:szCs w:val="20"/>
              </w:rPr>
              <w:br/>
            </w:r>
            <w:r w:rsidRPr="0014597D">
              <w:rPr>
                <w:rFonts w:ascii="Calibri" w:hAnsi="Calibri"/>
                <w:sz w:val="20"/>
                <w:szCs w:val="20"/>
              </w:rPr>
              <w:t>De BVO van een gebouw is de som van de bepaalde BVO van alle tot het gebouw behorende binnenruimten. Bovendien moet tot de BVO van een gebouw worden gerekend:</w:t>
            </w:r>
          </w:p>
          <w:p w14:paraId="620C521E" w14:textId="77777777" w:rsidR="009D03B6" w:rsidRPr="0014597D" w:rsidRDefault="009D03B6" w:rsidP="009D03B6">
            <w:pPr>
              <w:pStyle w:val="Lijstalinea"/>
              <w:numPr>
                <w:ilvl w:val="0"/>
                <w:numId w:val="6"/>
              </w:numPr>
              <w:spacing w:after="0" w:line="240" w:lineRule="auto"/>
              <w:rPr>
                <w:rFonts w:ascii="Calibri" w:hAnsi="Calibri"/>
                <w:sz w:val="20"/>
                <w:szCs w:val="20"/>
              </w:rPr>
            </w:pPr>
            <w:r w:rsidRPr="0014597D">
              <w:rPr>
                <w:rFonts w:ascii="Calibri" w:hAnsi="Calibri"/>
                <w:sz w:val="20"/>
                <w:szCs w:val="20"/>
              </w:rPr>
              <w:t xml:space="preserve">De oppervlakte van een trapgat, een liftschacht en leidingschacht op elk vloerniveau. </w:t>
            </w:r>
          </w:p>
          <w:p w14:paraId="0DB720F1" w14:textId="77777777" w:rsidR="009D03B6" w:rsidRPr="0014597D" w:rsidRDefault="009D03B6" w:rsidP="009D03B6">
            <w:pPr>
              <w:pStyle w:val="Lijstalinea"/>
              <w:numPr>
                <w:ilvl w:val="0"/>
                <w:numId w:val="6"/>
              </w:numPr>
              <w:spacing w:after="0" w:line="240" w:lineRule="auto"/>
              <w:rPr>
                <w:rFonts w:ascii="Calibri" w:hAnsi="Calibri"/>
                <w:sz w:val="20"/>
                <w:szCs w:val="20"/>
              </w:rPr>
            </w:pPr>
            <w:r w:rsidRPr="0014597D">
              <w:rPr>
                <w:rFonts w:ascii="Calibri" w:hAnsi="Calibri"/>
                <w:sz w:val="20"/>
                <w:szCs w:val="20"/>
              </w:rPr>
              <w:t xml:space="preserve">De oppervlakte van een vrijstaande uitwendige kolom, indien deze groter is dan 0,5 m². </w:t>
            </w:r>
          </w:p>
          <w:p w14:paraId="45778170" w14:textId="77777777" w:rsidR="009D03B6" w:rsidRPr="009D03B6" w:rsidRDefault="009D03B6" w:rsidP="009D03B6">
            <w:pPr>
              <w:pStyle w:val="Lijstalinea"/>
              <w:numPr>
                <w:ilvl w:val="0"/>
                <w:numId w:val="6"/>
              </w:numPr>
              <w:spacing w:after="0" w:line="240" w:lineRule="auto"/>
              <w:rPr>
                <w:rFonts w:ascii="Calibri" w:hAnsi="Calibri"/>
                <w:sz w:val="20"/>
                <w:szCs w:val="20"/>
              </w:rPr>
            </w:pPr>
            <w:r w:rsidRPr="0014597D">
              <w:rPr>
                <w:rFonts w:ascii="Calibri" w:hAnsi="Calibri"/>
                <w:sz w:val="20"/>
                <w:szCs w:val="20"/>
              </w:rPr>
              <w:t>De oppervlakte van buitenruimten zoals loggia s, balkons, niet gesloten galerijen, dakterrassen en dergelijke worden niet tot de BVO van een gebouw gerekend.</w:t>
            </w:r>
            <w:r>
              <w:rPr>
                <w:rFonts w:ascii="Calibri" w:hAnsi="Calibri"/>
                <w:sz w:val="20"/>
                <w:szCs w:val="20"/>
              </w:rPr>
              <w:br/>
            </w:r>
          </w:p>
        </w:tc>
      </w:tr>
      <w:tr w:rsidR="009D03B6" w14:paraId="60FF700D" w14:textId="77777777" w:rsidTr="009D03B6">
        <w:tc>
          <w:tcPr>
            <w:tcW w:w="9062" w:type="dxa"/>
          </w:tcPr>
          <w:p w14:paraId="5C840C6C" w14:textId="77777777" w:rsidR="009D03B6" w:rsidRPr="0014597D" w:rsidRDefault="009D03B6" w:rsidP="009D03B6">
            <w:pPr>
              <w:rPr>
                <w:rFonts w:ascii="Calibri" w:hAnsi="Calibri"/>
                <w:b/>
                <w:sz w:val="20"/>
                <w:szCs w:val="20"/>
              </w:rPr>
            </w:pPr>
            <w:r w:rsidRPr="0014597D">
              <w:rPr>
                <w:rFonts w:ascii="Calibri" w:hAnsi="Calibri"/>
                <w:b/>
                <w:sz w:val="20"/>
                <w:szCs w:val="20"/>
              </w:rPr>
              <w:t>BVO wordt gebruikt in de volgende situaties:</w:t>
            </w:r>
          </w:p>
          <w:p w14:paraId="50DD8524" w14:textId="77777777" w:rsidR="009D03B6" w:rsidRPr="0014597D"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Plancapaciteit in kaart brengen</w:t>
            </w:r>
          </w:p>
          <w:p w14:paraId="5D49A439" w14:textId="77777777" w:rsidR="009D03B6" w:rsidRPr="0014597D"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Haalbaarheidsstudies van nieuwe ontwikkelingen obv brutovloerproductiviteit (marktruimte)</w:t>
            </w:r>
          </w:p>
          <w:p w14:paraId="6D2DF8FE" w14:textId="77777777" w:rsidR="009D03B6" w:rsidRPr="0014597D"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Haalbaarheidsstudies van uitbreiding van bestaand obv brutovloerproductiviteit (marktruimte)</w:t>
            </w:r>
          </w:p>
          <w:p w14:paraId="17B623C2" w14:textId="77777777" w:rsidR="009D03B6" w:rsidRPr="0014597D"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Bestemmingsplan</w:t>
            </w:r>
          </w:p>
          <w:p w14:paraId="41868A24" w14:textId="77777777" w:rsidR="009D03B6" w:rsidRPr="0014597D"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Stedelijke herverkaveling, ontwikkelingsfonds, vastgoedfonds</w:t>
            </w:r>
          </w:p>
          <w:p w14:paraId="616E578D" w14:textId="77777777" w:rsidR="009D03B6" w:rsidRDefault="009D03B6" w:rsidP="009D03B6">
            <w:pPr>
              <w:pStyle w:val="Lijstalinea"/>
              <w:numPr>
                <w:ilvl w:val="0"/>
                <w:numId w:val="4"/>
              </w:numPr>
              <w:spacing w:after="0" w:line="240" w:lineRule="auto"/>
              <w:rPr>
                <w:rFonts w:ascii="Calibri" w:hAnsi="Calibri"/>
                <w:sz w:val="20"/>
                <w:szCs w:val="20"/>
              </w:rPr>
            </w:pPr>
            <w:r w:rsidRPr="0014597D">
              <w:rPr>
                <w:rFonts w:ascii="Calibri" w:hAnsi="Calibri"/>
                <w:sz w:val="20"/>
                <w:szCs w:val="20"/>
              </w:rPr>
              <w:t>Bepalen Woz waarde en gerbuikswaarde</w:t>
            </w:r>
          </w:p>
          <w:p w14:paraId="61219935" w14:textId="77777777" w:rsidR="009D03B6" w:rsidRPr="009D03B6" w:rsidRDefault="009D03B6" w:rsidP="009D03B6">
            <w:pPr>
              <w:pStyle w:val="Lijstalinea"/>
              <w:numPr>
                <w:ilvl w:val="0"/>
                <w:numId w:val="4"/>
              </w:numPr>
              <w:spacing w:after="0" w:line="240" w:lineRule="auto"/>
              <w:rPr>
                <w:rFonts w:ascii="Calibri" w:hAnsi="Calibri"/>
                <w:sz w:val="20"/>
                <w:szCs w:val="20"/>
              </w:rPr>
            </w:pPr>
            <w:r w:rsidRPr="009D03B6">
              <w:rPr>
                <w:rFonts w:ascii="Calibri" w:hAnsi="Calibri"/>
                <w:sz w:val="20"/>
                <w:szCs w:val="20"/>
              </w:rPr>
              <w:t>Grondslag voor bouwleges en bouw-, investerings-en exploitatiekosten</w:t>
            </w:r>
          </w:p>
        </w:tc>
      </w:tr>
      <w:tr w:rsidR="009D03B6" w14:paraId="634E9BF6" w14:textId="77777777" w:rsidTr="009D03B6">
        <w:tc>
          <w:tcPr>
            <w:tcW w:w="9062" w:type="dxa"/>
          </w:tcPr>
          <w:p w14:paraId="427A8ED8" w14:textId="77777777" w:rsidR="009D03B6" w:rsidRPr="0014597D" w:rsidRDefault="009D03B6" w:rsidP="009D03B6">
            <w:pPr>
              <w:rPr>
                <w:rFonts w:ascii="Calibri" w:hAnsi="Calibri"/>
                <w:b/>
                <w:sz w:val="20"/>
                <w:szCs w:val="20"/>
              </w:rPr>
            </w:pPr>
            <w:r w:rsidRPr="0014597D">
              <w:rPr>
                <w:rFonts w:ascii="Calibri" w:hAnsi="Calibri"/>
                <w:b/>
                <w:sz w:val="20"/>
                <w:szCs w:val="20"/>
              </w:rPr>
              <w:t>Aandachtspunten met name voor inventarisatie plancapaciteit/planvoorraad:</w:t>
            </w:r>
          </w:p>
          <w:p w14:paraId="72C6D26D" w14:textId="77777777" w:rsidR="009D03B6" w:rsidRPr="0014597D" w:rsidRDefault="009D03B6" w:rsidP="009D03B6">
            <w:pPr>
              <w:pStyle w:val="Lijstalinea"/>
              <w:numPr>
                <w:ilvl w:val="0"/>
                <w:numId w:val="7"/>
              </w:numPr>
              <w:spacing w:after="0" w:line="240" w:lineRule="auto"/>
              <w:rPr>
                <w:rFonts w:ascii="Calibri" w:hAnsi="Calibri"/>
                <w:sz w:val="20"/>
                <w:szCs w:val="20"/>
              </w:rPr>
            </w:pPr>
            <w:r w:rsidRPr="0014597D">
              <w:rPr>
                <w:rFonts w:ascii="Calibri" w:hAnsi="Calibri"/>
                <w:sz w:val="20"/>
                <w:szCs w:val="20"/>
              </w:rPr>
              <w:t>Voor een overdekt winkelgebied behoort de overdekte buitenruimte die de toegang biedt tot alle winkels voor het publiek tot het BVO (geldt vooral voor planmatige winkelgebieden)</w:t>
            </w:r>
          </w:p>
          <w:p w14:paraId="50839742" w14:textId="77777777" w:rsidR="009D03B6" w:rsidRPr="009D03B6" w:rsidRDefault="009D03B6" w:rsidP="009D03B6">
            <w:pPr>
              <w:pStyle w:val="Lijstalinea"/>
              <w:numPr>
                <w:ilvl w:val="0"/>
                <w:numId w:val="7"/>
              </w:numPr>
              <w:spacing w:after="0" w:line="240" w:lineRule="auto"/>
              <w:rPr>
                <w:rFonts w:ascii="Calibri" w:hAnsi="Calibri"/>
                <w:sz w:val="20"/>
                <w:szCs w:val="20"/>
              </w:rPr>
            </w:pPr>
            <w:r w:rsidRPr="0014597D">
              <w:rPr>
                <w:rFonts w:ascii="Calibri" w:hAnsi="Calibri"/>
                <w:sz w:val="20"/>
                <w:szCs w:val="20"/>
              </w:rPr>
              <w:t>Voor de een winkelgebied waarbij de buitenruimte die de toegang biedt tot alle winkels voor het publiek niet is overdekt maar wel afgesloten kan worden en de bestemming detailhandel heeft, wordt ook tot het BVO gerekend (geldt vooral voor planmatige winkelgebieden)</w:t>
            </w:r>
          </w:p>
        </w:tc>
      </w:tr>
    </w:tbl>
    <w:p w14:paraId="59C2162A" w14:textId="77777777" w:rsidR="009D03B6" w:rsidRDefault="009D03B6" w:rsidP="0030663F">
      <w:pPr>
        <w:spacing w:after="200" w:line="276" w:lineRule="auto"/>
        <w:rPr>
          <w:rFonts w:eastAsia="Times New Roman" w:cs="Times New Roman"/>
          <w:sz w:val="24"/>
          <w:szCs w:val="24"/>
        </w:rPr>
      </w:pPr>
    </w:p>
    <w:p w14:paraId="04BE4B53" w14:textId="77777777" w:rsidR="00743FA3" w:rsidRDefault="00743FA3" w:rsidP="0030663F">
      <w:pPr>
        <w:spacing w:after="200" w:line="276" w:lineRule="auto"/>
        <w:rPr>
          <w:rFonts w:eastAsia="Times New Roman" w:cs="Times New Roman"/>
          <w:sz w:val="24"/>
          <w:szCs w:val="24"/>
        </w:rPr>
      </w:pPr>
    </w:p>
    <w:tbl>
      <w:tblPr>
        <w:tblStyle w:val="Tabelraster"/>
        <w:tblpPr w:leftFromText="141" w:rightFromText="141" w:vertAnchor="page" w:horzAnchor="margin" w:tblpY="1516"/>
        <w:tblW w:w="0" w:type="auto"/>
        <w:tblLook w:val="04A0" w:firstRow="1" w:lastRow="0" w:firstColumn="1" w:lastColumn="0" w:noHBand="0" w:noVBand="1"/>
      </w:tblPr>
      <w:tblGrid>
        <w:gridCol w:w="9062"/>
      </w:tblGrid>
      <w:tr w:rsidR="00743FA3" w:rsidRPr="0014597D" w14:paraId="41FBF9AE" w14:textId="77777777" w:rsidTr="00D048AC">
        <w:trPr>
          <w:trHeight w:val="315"/>
        </w:trPr>
        <w:tc>
          <w:tcPr>
            <w:tcW w:w="9062" w:type="dxa"/>
            <w:hideMark/>
          </w:tcPr>
          <w:p w14:paraId="5B575F9D" w14:textId="77777777" w:rsidR="00743FA3" w:rsidRPr="0014597D" w:rsidRDefault="00743FA3" w:rsidP="00D048AC">
            <w:pPr>
              <w:rPr>
                <w:rFonts w:ascii="Calibri" w:hAnsi="Calibri"/>
                <w:b/>
                <w:bCs/>
                <w:sz w:val="20"/>
                <w:szCs w:val="20"/>
              </w:rPr>
            </w:pPr>
            <w:r w:rsidRPr="0014597D">
              <w:rPr>
                <w:rFonts w:ascii="Calibri" w:hAnsi="Calibri"/>
                <w:b/>
                <w:bCs/>
                <w:sz w:val="20"/>
                <w:szCs w:val="20"/>
              </w:rPr>
              <w:t>Verhuurbare vloeroppervlakte (VVO)</w:t>
            </w:r>
          </w:p>
        </w:tc>
      </w:tr>
      <w:tr w:rsidR="00743FA3" w:rsidRPr="0014597D" w14:paraId="2737D955" w14:textId="77777777" w:rsidTr="00D048AC">
        <w:trPr>
          <w:trHeight w:val="300"/>
        </w:trPr>
        <w:tc>
          <w:tcPr>
            <w:tcW w:w="9062" w:type="dxa"/>
            <w:hideMark/>
          </w:tcPr>
          <w:p w14:paraId="7AA65469" w14:textId="77777777" w:rsidR="00743FA3" w:rsidRPr="0014597D" w:rsidRDefault="00743FA3" w:rsidP="00D048AC">
            <w:pPr>
              <w:rPr>
                <w:rFonts w:ascii="Calibri" w:hAnsi="Calibri"/>
                <w:sz w:val="20"/>
                <w:szCs w:val="20"/>
              </w:rPr>
            </w:pPr>
            <w:r w:rsidRPr="0014597D">
              <w:rPr>
                <w:rFonts w:ascii="Calibri" w:hAnsi="Calibri"/>
                <w:sz w:val="20"/>
                <w:szCs w:val="20"/>
              </w:rPr>
              <w:t>VVO wordt gebruikt in relatie tot kantoren of kantooreenheden.</w:t>
            </w:r>
          </w:p>
          <w:p w14:paraId="7B7ED9FA" w14:textId="28093AEA" w:rsidR="00743FA3" w:rsidRPr="0014597D" w:rsidRDefault="00743FA3" w:rsidP="00D048AC">
            <w:pPr>
              <w:rPr>
                <w:rFonts w:ascii="Calibri" w:hAnsi="Calibri"/>
                <w:sz w:val="20"/>
                <w:szCs w:val="20"/>
              </w:rPr>
            </w:pPr>
            <w:r w:rsidRPr="0014597D">
              <w:rPr>
                <w:rFonts w:ascii="Calibri" w:hAnsi="Calibri"/>
                <w:sz w:val="20"/>
                <w:szCs w:val="20"/>
              </w:rPr>
              <w:t>De Verhuurbare Vloeroppervlakte van een gebouw is in het spraakgebruik de VVO. De VVO van een ruimte of een groep ruimten is de oppervlakte, gemeten op vloerniveau, tussen de opgaande scheidingsconstructies, die de desbetreffende ruimte of groep van binnenruimten omhullen. Waar gelijke gebouwfuncties aan elkaar grenzen, wordt gemeten tot het hart van de betreffende scheidingsconstructie. Ter plaatste van raamopeningen in de opgaande scheidingsconstructies aan de buitengevels wordt gemeten tot aan de binnenzijde van het glas op 1,5 m boven de vloer en ter breedte van deze raamopeningen.</w:t>
            </w:r>
          </w:p>
          <w:p w14:paraId="4C7D48F3" w14:textId="77777777" w:rsidR="00743FA3" w:rsidRPr="0014597D" w:rsidRDefault="00743FA3" w:rsidP="00D048AC">
            <w:pPr>
              <w:rPr>
                <w:rFonts w:ascii="Calibri" w:hAnsi="Calibri"/>
                <w:sz w:val="20"/>
                <w:szCs w:val="20"/>
              </w:rPr>
            </w:pPr>
            <w:r w:rsidRPr="0014597D">
              <w:rPr>
                <w:rFonts w:ascii="Calibri" w:hAnsi="Calibri"/>
                <w:sz w:val="20"/>
                <w:szCs w:val="20"/>
              </w:rPr>
              <w:t>Bij de bepalingen van de VVO wordt niet meegerekend:</w:t>
            </w:r>
          </w:p>
          <w:p w14:paraId="7D64794D"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ruimte die dient voor het onderbrengen of bedienen van gebouwinstallaties </w:t>
            </w:r>
          </w:p>
          <w:p w14:paraId="128E75D0"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trappenhuis </w:t>
            </w:r>
          </w:p>
          <w:p w14:paraId="7E4A6355"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voorziening voor verticaal verkeer, trap(schalm-)gat, liftschacht of vide, indien de oppervlakte daarvan groter is dan 4 m² </w:t>
            </w:r>
          </w:p>
          <w:p w14:paraId="06D1AB9E"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ruimte die dient voor het parkeren van gemotoriseerde voertuigen </w:t>
            </w:r>
          </w:p>
          <w:p w14:paraId="34B18A11"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De oppervlakte van delen van vloeren waarboven de netto hoogte kleiner is dan 1,5 m </w:t>
            </w:r>
          </w:p>
          <w:p w14:paraId="1A0A7476"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vrijstaande bouwconstructie en een leidingschacht indien de horizontale doorsnede daarvan groter is dan 0,5 m² </w:t>
            </w:r>
          </w:p>
          <w:p w14:paraId="1E2294E2" w14:textId="77777777" w:rsidR="00743FA3" w:rsidRPr="0014597D" w:rsidRDefault="00743FA3" w:rsidP="00743FA3">
            <w:pPr>
              <w:pStyle w:val="Lijstalinea"/>
              <w:numPr>
                <w:ilvl w:val="0"/>
                <w:numId w:val="1"/>
              </w:numPr>
              <w:spacing w:after="0" w:line="240" w:lineRule="auto"/>
              <w:rPr>
                <w:rFonts w:ascii="Calibri" w:hAnsi="Calibri"/>
                <w:sz w:val="20"/>
                <w:szCs w:val="20"/>
              </w:rPr>
            </w:pPr>
            <w:r w:rsidRPr="0014597D">
              <w:rPr>
                <w:rFonts w:ascii="Calibri" w:hAnsi="Calibri"/>
                <w:sz w:val="20"/>
                <w:szCs w:val="20"/>
              </w:rPr>
              <w:t xml:space="preserve">Een dragende binnenwand </w:t>
            </w:r>
          </w:p>
          <w:p w14:paraId="2FB6568D" w14:textId="77777777" w:rsidR="00743FA3" w:rsidRPr="0014597D" w:rsidRDefault="00743FA3" w:rsidP="00D048AC">
            <w:pPr>
              <w:rPr>
                <w:rFonts w:ascii="Calibri" w:hAnsi="Calibri"/>
                <w:sz w:val="20"/>
                <w:szCs w:val="20"/>
              </w:rPr>
            </w:pPr>
          </w:p>
          <w:p w14:paraId="402B62A8" w14:textId="0525F116" w:rsidR="00743FA3" w:rsidRPr="0014597D" w:rsidRDefault="00743FA3" w:rsidP="00D048AC">
            <w:pPr>
              <w:rPr>
                <w:rFonts w:ascii="Calibri" w:hAnsi="Calibri"/>
                <w:sz w:val="20"/>
                <w:szCs w:val="20"/>
              </w:rPr>
            </w:pPr>
            <w:r w:rsidRPr="0014597D">
              <w:rPr>
                <w:rFonts w:ascii="Calibri" w:hAnsi="Calibri"/>
                <w:sz w:val="20"/>
                <w:szCs w:val="20"/>
              </w:rPr>
              <w:t>Bij de bepaling van de grenslijn moet een incidentele nis of uitsparing en een incidenteel uitspringen bouwdeel worden genegeerd, indien het grondvlak daarvan kleiner is dan 0,5 m².</w:t>
            </w:r>
          </w:p>
          <w:p w14:paraId="5D831104" w14:textId="2A828401" w:rsidR="00743FA3" w:rsidRPr="0014597D" w:rsidRDefault="00743FA3" w:rsidP="00D048AC">
            <w:pPr>
              <w:rPr>
                <w:rFonts w:ascii="Calibri" w:hAnsi="Calibri"/>
                <w:sz w:val="20"/>
                <w:szCs w:val="20"/>
              </w:rPr>
            </w:pPr>
            <w:r w:rsidRPr="0014597D">
              <w:rPr>
                <w:rFonts w:ascii="Calibri" w:hAnsi="Calibri"/>
                <w:sz w:val="20"/>
                <w:szCs w:val="20"/>
              </w:rPr>
              <w:t>VVO van een gebouw</w:t>
            </w:r>
            <w:r>
              <w:rPr>
                <w:rFonts w:ascii="Calibri" w:hAnsi="Calibri"/>
                <w:sz w:val="20"/>
                <w:szCs w:val="20"/>
              </w:rPr>
              <w:br/>
            </w:r>
            <w:r w:rsidRPr="0014597D">
              <w:rPr>
                <w:rFonts w:ascii="Calibri" w:hAnsi="Calibri"/>
                <w:sz w:val="20"/>
                <w:szCs w:val="20"/>
              </w:rPr>
              <w:t>De VVO van een gebouw is de GO vermeerderd met de correctie glaslijn. Deze correctie wordt berekend door van de raamopeningen in de buitengrenzingen de afstand tussen de meetlijn voor de NVO en de binnenkant van het glas op 1,5 m boven de vloer te bepalen en te vermenigvuldigen met de breedte van deze glasopeningen.</w:t>
            </w:r>
          </w:p>
          <w:p w14:paraId="4EB59592" w14:textId="14FD5D97" w:rsidR="00743FA3" w:rsidRPr="0014597D" w:rsidRDefault="00743FA3" w:rsidP="00D048AC">
            <w:pPr>
              <w:rPr>
                <w:rFonts w:ascii="Calibri" w:hAnsi="Calibri"/>
                <w:sz w:val="20"/>
                <w:szCs w:val="20"/>
              </w:rPr>
            </w:pPr>
            <w:r w:rsidRPr="0014597D">
              <w:rPr>
                <w:rFonts w:ascii="Calibri" w:hAnsi="Calibri"/>
                <w:sz w:val="20"/>
                <w:szCs w:val="20"/>
              </w:rPr>
              <w:t>Toe te rekenen delen van de VVO van algemene ruimten</w:t>
            </w:r>
            <w:r>
              <w:rPr>
                <w:rFonts w:ascii="Calibri" w:hAnsi="Calibri"/>
                <w:sz w:val="20"/>
                <w:szCs w:val="20"/>
              </w:rPr>
              <w:br/>
            </w:r>
            <w:r w:rsidRPr="0014597D">
              <w:rPr>
                <w:rFonts w:ascii="Calibri" w:hAnsi="Calibri"/>
                <w:sz w:val="20"/>
                <w:szCs w:val="20"/>
              </w:rPr>
              <w:t>De bepaalde VVO van een gebruikseenheid wordt vermeerderd met een deel van de VVO van de in dat gebouw gelegen algemene ruimten waarop die gebruikseenheid is aangewezen, met inbegrip van de algemene verkeersruimten gelegen tussen de toegang van die gebruikseenheid en die algemene ruimten, met dien verstande dat die algemene ruimten moeten zijn opgevat als een groep van ruimten. De omvang van dat deel moet zijn bepaald naar evenredigheid van de omvang van de bepaalde gezamenlijke verhuurbare oppervlakte van de op die algemene ruimten aangewezen gebruikseenheden.</w:t>
            </w:r>
          </w:p>
        </w:tc>
      </w:tr>
      <w:tr w:rsidR="00743FA3" w:rsidRPr="0014597D" w14:paraId="1211CBF8" w14:textId="77777777" w:rsidTr="00D048AC">
        <w:trPr>
          <w:trHeight w:val="1469"/>
        </w:trPr>
        <w:tc>
          <w:tcPr>
            <w:tcW w:w="9062" w:type="dxa"/>
            <w:noWrap/>
          </w:tcPr>
          <w:p w14:paraId="24995CCF" w14:textId="77777777" w:rsidR="00743FA3" w:rsidRPr="0014597D" w:rsidRDefault="00743FA3" w:rsidP="00D048AC">
            <w:pPr>
              <w:rPr>
                <w:rFonts w:ascii="Calibri" w:hAnsi="Calibri"/>
                <w:b/>
                <w:bCs/>
                <w:sz w:val="20"/>
                <w:szCs w:val="20"/>
              </w:rPr>
            </w:pPr>
            <w:r w:rsidRPr="0014597D">
              <w:rPr>
                <w:rFonts w:ascii="Calibri" w:hAnsi="Calibri"/>
                <w:b/>
                <w:bCs/>
                <w:sz w:val="20"/>
                <w:szCs w:val="20"/>
              </w:rPr>
              <w:t>VVO wordt gebruikt voor de volgende situaties:</w:t>
            </w:r>
          </w:p>
          <w:p w14:paraId="2A8A3D41" w14:textId="77777777" w:rsidR="00743FA3" w:rsidRPr="0014597D" w:rsidRDefault="00743FA3" w:rsidP="00743FA3">
            <w:pPr>
              <w:pStyle w:val="Lijstalinea"/>
              <w:numPr>
                <w:ilvl w:val="0"/>
                <w:numId w:val="4"/>
              </w:numPr>
              <w:spacing w:after="0" w:line="240" w:lineRule="auto"/>
              <w:rPr>
                <w:rFonts w:ascii="Calibri" w:hAnsi="Calibri"/>
                <w:bCs/>
                <w:sz w:val="20"/>
                <w:szCs w:val="20"/>
              </w:rPr>
            </w:pPr>
            <w:r w:rsidRPr="0014597D">
              <w:rPr>
                <w:rFonts w:ascii="Calibri" w:hAnsi="Calibri"/>
                <w:bCs/>
                <w:sz w:val="20"/>
                <w:szCs w:val="20"/>
              </w:rPr>
              <w:t>Taxaties</w:t>
            </w:r>
          </w:p>
          <w:p w14:paraId="145CA81B" w14:textId="77777777" w:rsidR="00743FA3" w:rsidRPr="0014597D" w:rsidRDefault="00743FA3" w:rsidP="00743FA3">
            <w:pPr>
              <w:pStyle w:val="Lijstalinea"/>
              <w:numPr>
                <w:ilvl w:val="0"/>
                <w:numId w:val="4"/>
              </w:numPr>
              <w:spacing w:after="0" w:line="240" w:lineRule="auto"/>
              <w:rPr>
                <w:rFonts w:ascii="Calibri" w:hAnsi="Calibri"/>
                <w:bCs/>
                <w:sz w:val="20"/>
                <w:szCs w:val="20"/>
              </w:rPr>
            </w:pPr>
            <w:r w:rsidRPr="0014597D">
              <w:rPr>
                <w:rFonts w:ascii="Calibri" w:hAnsi="Calibri"/>
                <w:bCs/>
                <w:sz w:val="20"/>
                <w:szCs w:val="20"/>
              </w:rPr>
              <w:t>Beleggingswaarde, berekening netto contante waarde</w:t>
            </w:r>
          </w:p>
          <w:p w14:paraId="41A9BDD8" w14:textId="77777777" w:rsidR="00743FA3" w:rsidRPr="0014597D" w:rsidRDefault="00743FA3" w:rsidP="00743FA3">
            <w:pPr>
              <w:pStyle w:val="Lijstalinea"/>
              <w:numPr>
                <w:ilvl w:val="0"/>
                <w:numId w:val="4"/>
              </w:numPr>
              <w:spacing w:after="0" w:line="240" w:lineRule="auto"/>
              <w:rPr>
                <w:rFonts w:ascii="Calibri" w:hAnsi="Calibri"/>
                <w:bCs/>
                <w:sz w:val="20"/>
                <w:szCs w:val="20"/>
              </w:rPr>
            </w:pPr>
            <w:r w:rsidRPr="0014597D">
              <w:rPr>
                <w:rFonts w:ascii="Calibri" w:hAnsi="Calibri"/>
                <w:bCs/>
                <w:sz w:val="20"/>
                <w:szCs w:val="20"/>
              </w:rPr>
              <w:t>Aan en verhuur (huurcontract)</w:t>
            </w:r>
          </w:p>
          <w:p w14:paraId="27E4DD7D" w14:textId="77777777" w:rsidR="00743FA3" w:rsidRPr="0014597D" w:rsidRDefault="00743FA3" w:rsidP="00743FA3">
            <w:pPr>
              <w:pStyle w:val="Lijstalinea"/>
              <w:numPr>
                <w:ilvl w:val="0"/>
                <w:numId w:val="4"/>
              </w:numPr>
              <w:spacing w:after="0" w:line="240" w:lineRule="auto"/>
              <w:rPr>
                <w:rFonts w:ascii="Calibri" w:hAnsi="Calibri"/>
                <w:bCs/>
                <w:sz w:val="20"/>
                <w:szCs w:val="20"/>
              </w:rPr>
            </w:pPr>
            <w:r w:rsidRPr="0014597D">
              <w:rPr>
                <w:rFonts w:ascii="Calibri" w:hAnsi="Calibri"/>
                <w:bCs/>
                <w:sz w:val="20"/>
                <w:szCs w:val="20"/>
              </w:rPr>
              <w:t>Benchmarken ten behoeve van branchering</w:t>
            </w:r>
          </w:p>
        </w:tc>
      </w:tr>
      <w:tr w:rsidR="00743FA3" w:rsidRPr="0014597D" w14:paraId="302C2160" w14:textId="77777777" w:rsidTr="00D048AC">
        <w:trPr>
          <w:trHeight w:val="1469"/>
        </w:trPr>
        <w:tc>
          <w:tcPr>
            <w:tcW w:w="9062" w:type="dxa"/>
            <w:noWrap/>
          </w:tcPr>
          <w:p w14:paraId="4FCAAE7A" w14:textId="77777777" w:rsidR="00743FA3" w:rsidRPr="0014597D" w:rsidRDefault="00743FA3" w:rsidP="00D048AC">
            <w:pPr>
              <w:rPr>
                <w:rFonts w:ascii="Calibri" w:hAnsi="Calibri"/>
                <w:b/>
                <w:bCs/>
                <w:sz w:val="20"/>
                <w:szCs w:val="20"/>
              </w:rPr>
            </w:pPr>
            <w:r w:rsidRPr="0014597D">
              <w:rPr>
                <w:rFonts w:ascii="Calibri" w:hAnsi="Calibri"/>
                <w:b/>
                <w:bCs/>
                <w:sz w:val="20"/>
                <w:szCs w:val="20"/>
              </w:rPr>
              <w:t>Aandachtspunten:</w:t>
            </w:r>
          </w:p>
          <w:p w14:paraId="2D945FCE" w14:textId="77777777" w:rsidR="00743FA3" w:rsidRPr="0014597D" w:rsidRDefault="00743FA3" w:rsidP="00743FA3">
            <w:pPr>
              <w:pStyle w:val="Lijstalinea"/>
              <w:numPr>
                <w:ilvl w:val="0"/>
                <w:numId w:val="9"/>
              </w:numPr>
              <w:spacing w:after="0" w:line="240" w:lineRule="auto"/>
              <w:rPr>
                <w:rFonts w:ascii="Calibri" w:hAnsi="Calibri"/>
                <w:bCs/>
                <w:sz w:val="20"/>
                <w:szCs w:val="20"/>
              </w:rPr>
            </w:pPr>
            <w:r w:rsidRPr="0014597D">
              <w:rPr>
                <w:rFonts w:ascii="Calibri" w:hAnsi="Calibri"/>
                <w:bCs/>
                <w:sz w:val="20"/>
                <w:szCs w:val="20"/>
              </w:rPr>
              <w:t>Branchevervaging en blurring zorgen er voor de benchmarken van branchering steeds lastiger wordt obv VVO.</w:t>
            </w:r>
          </w:p>
        </w:tc>
      </w:tr>
    </w:tbl>
    <w:p w14:paraId="135C69E6" w14:textId="77777777" w:rsidR="00743FA3" w:rsidRPr="009D03B6" w:rsidRDefault="00743FA3" w:rsidP="0030663F">
      <w:pPr>
        <w:spacing w:after="200" w:line="276" w:lineRule="auto"/>
        <w:rPr>
          <w:rFonts w:eastAsia="Times New Roman" w:cs="Times New Roman"/>
          <w:sz w:val="24"/>
          <w:szCs w:val="24"/>
        </w:rPr>
      </w:pPr>
    </w:p>
    <w:p w14:paraId="05D93562" w14:textId="77777777" w:rsidR="0030663F" w:rsidRDefault="0030663F" w:rsidP="0030663F"/>
    <w:p w14:paraId="23FAB527" w14:textId="77777777" w:rsidR="00743FA3" w:rsidRDefault="00743FA3"/>
    <w:tbl>
      <w:tblPr>
        <w:tblStyle w:val="Tabelraster"/>
        <w:tblpPr w:leftFromText="141" w:rightFromText="141" w:vertAnchor="page" w:horzAnchor="margin" w:tblpY="1516"/>
        <w:tblW w:w="9103" w:type="dxa"/>
        <w:tblLook w:val="04A0" w:firstRow="1" w:lastRow="0" w:firstColumn="1" w:lastColumn="0" w:noHBand="0" w:noVBand="1"/>
      </w:tblPr>
      <w:tblGrid>
        <w:gridCol w:w="9103"/>
      </w:tblGrid>
      <w:tr w:rsidR="00743FA3" w:rsidRPr="0014597D" w14:paraId="418FE8DC" w14:textId="77777777" w:rsidTr="001D0ACE">
        <w:trPr>
          <w:trHeight w:val="317"/>
        </w:trPr>
        <w:tc>
          <w:tcPr>
            <w:tcW w:w="9103" w:type="dxa"/>
            <w:noWrap/>
            <w:hideMark/>
          </w:tcPr>
          <w:p w14:paraId="1EFBEBC0" w14:textId="77777777" w:rsidR="00743FA3" w:rsidRPr="0014597D" w:rsidRDefault="00743FA3" w:rsidP="00D048AC">
            <w:pPr>
              <w:rPr>
                <w:rFonts w:ascii="Calibri" w:hAnsi="Calibri"/>
                <w:b/>
                <w:bCs/>
                <w:sz w:val="20"/>
                <w:szCs w:val="20"/>
              </w:rPr>
            </w:pPr>
            <w:r w:rsidRPr="0014597D">
              <w:rPr>
                <w:rFonts w:ascii="Calibri" w:hAnsi="Calibri"/>
                <w:b/>
                <w:bCs/>
                <w:sz w:val="20"/>
                <w:szCs w:val="20"/>
              </w:rPr>
              <w:t>Winkelvloeroppervlak (WVO): Locatus</w:t>
            </w:r>
          </w:p>
        </w:tc>
      </w:tr>
      <w:tr w:rsidR="00743FA3" w:rsidRPr="0014597D" w14:paraId="54B60BBF" w14:textId="77777777" w:rsidTr="001D0ACE">
        <w:trPr>
          <w:trHeight w:val="302"/>
        </w:trPr>
        <w:tc>
          <w:tcPr>
            <w:tcW w:w="9103" w:type="dxa"/>
            <w:noWrap/>
            <w:hideMark/>
          </w:tcPr>
          <w:p w14:paraId="64B807A5" w14:textId="76EA7377" w:rsidR="00B72EBF" w:rsidRPr="00B72EBF" w:rsidRDefault="00B72EBF" w:rsidP="00B72EBF">
            <w:pPr>
              <w:rPr>
                <w:rFonts w:ascii="Calibri" w:hAnsi="Calibri"/>
                <w:sz w:val="20"/>
                <w:szCs w:val="20"/>
              </w:rPr>
            </w:pPr>
            <w:r w:rsidRPr="00B72EBF">
              <w:rPr>
                <w:rFonts w:ascii="Calibri" w:hAnsi="Calibri"/>
                <w:sz w:val="20"/>
                <w:szCs w:val="20"/>
              </w:rPr>
              <w:t>Onder winkelvloeroppervlak verstaat Locatus:</w:t>
            </w:r>
            <w:r>
              <w:rPr>
                <w:rFonts w:ascii="Calibri" w:hAnsi="Calibri"/>
                <w:sz w:val="20"/>
                <w:szCs w:val="20"/>
              </w:rPr>
              <w:br/>
            </w:r>
            <w:r w:rsidRPr="00B72EBF">
              <w:rPr>
                <w:rFonts w:ascii="Calibri" w:hAnsi="Calibri"/>
                <w:sz w:val="20"/>
                <w:szCs w:val="20"/>
              </w:rPr>
              <w:t>Het oppervlak van een (winkel)unit dat voor het publiek vrij toegankelijk is, dan wel zichtbaar is inclusief de ruimten die direct met de verkoop samenhangen.</w:t>
            </w:r>
            <w:r>
              <w:rPr>
                <w:rFonts w:ascii="Calibri" w:hAnsi="Calibri"/>
                <w:sz w:val="20"/>
                <w:szCs w:val="20"/>
              </w:rPr>
              <w:t xml:space="preserve"> </w:t>
            </w:r>
            <w:r>
              <w:rPr>
                <w:rFonts w:ascii="Calibri" w:hAnsi="Calibri"/>
                <w:sz w:val="20"/>
                <w:szCs w:val="20"/>
              </w:rPr>
              <w:br/>
            </w:r>
            <w:r w:rsidRPr="00B72EBF">
              <w:rPr>
                <w:rFonts w:ascii="Calibri" w:hAnsi="Calibri"/>
                <w:sz w:val="20"/>
                <w:szCs w:val="20"/>
              </w:rPr>
              <w:t>Bij de meeste wink</w:t>
            </w:r>
            <w:r w:rsidR="00781B8F">
              <w:rPr>
                <w:rFonts w:ascii="Calibri" w:hAnsi="Calibri"/>
                <w:sz w:val="20"/>
                <w:szCs w:val="20"/>
              </w:rPr>
              <w:t>els zal het bepalen van het WVO</w:t>
            </w:r>
            <w:r w:rsidRPr="00B72EBF">
              <w:rPr>
                <w:rFonts w:ascii="Calibri" w:hAnsi="Calibri"/>
                <w:sz w:val="20"/>
                <w:szCs w:val="20"/>
              </w:rPr>
              <w:t xml:space="preserve"> geen problemen opleveren. In de praktijk zijn</w:t>
            </w:r>
            <w:r>
              <w:rPr>
                <w:rFonts w:ascii="Calibri" w:hAnsi="Calibri"/>
                <w:sz w:val="20"/>
                <w:szCs w:val="20"/>
              </w:rPr>
              <w:t xml:space="preserve"> </w:t>
            </w:r>
            <w:r w:rsidRPr="00B72EBF">
              <w:rPr>
                <w:rFonts w:ascii="Calibri" w:hAnsi="Calibri"/>
                <w:sz w:val="20"/>
                <w:szCs w:val="20"/>
              </w:rPr>
              <w:t>toch veel situaties denkbaar waarvan men niet precies weet of een bepaald oppervlak nu wel of</w:t>
            </w:r>
            <w:r>
              <w:rPr>
                <w:rFonts w:ascii="Calibri" w:hAnsi="Calibri"/>
                <w:sz w:val="20"/>
                <w:szCs w:val="20"/>
              </w:rPr>
              <w:t xml:space="preserve"> </w:t>
            </w:r>
            <w:r w:rsidRPr="00B72EBF">
              <w:rPr>
                <w:rFonts w:ascii="Calibri" w:hAnsi="Calibri"/>
                <w:sz w:val="20"/>
                <w:szCs w:val="20"/>
              </w:rPr>
              <w:t>niet tot het WVO moet worden gerekend. In een meubelwinkel is bij binnenkomst een grote</w:t>
            </w:r>
            <w:r>
              <w:rPr>
                <w:rFonts w:ascii="Calibri" w:hAnsi="Calibri"/>
                <w:sz w:val="20"/>
                <w:szCs w:val="20"/>
              </w:rPr>
              <w:t xml:space="preserve"> </w:t>
            </w:r>
            <w:r w:rsidRPr="00B72EBF">
              <w:rPr>
                <w:rFonts w:ascii="Calibri" w:hAnsi="Calibri"/>
                <w:sz w:val="20"/>
                <w:szCs w:val="20"/>
              </w:rPr>
              <w:t>vijver gesitueerd. Het oppervlak dat deze vijver inneemt behoort tot het WVO. De vijver draagt bij</w:t>
            </w:r>
            <w:r>
              <w:rPr>
                <w:rFonts w:ascii="Calibri" w:hAnsi="Calibri"/>
                <w:sz w:val="20"/>
                <w:szCs w:val="20"/>
              </w:rPr>
              <w:t xml:space="preserve"> </w:t>
            </w:r>
            <w:r w:rsidRPr="00B72EBF">
              <w:rPr>
                <w:rFonts w:ascii="Calibri" w:hAnsi="Calibri"/>
                <w:sz w:val="20"/>
                <w:szCs w:val="20"/>
              </w:rPr>
              <w:t>aan de ‘opsmuk’ van de winkel en daarmee ook aan de verkoopbedoelingen van de ondernemer.</w:t>
            </w:r>
            <w:r>
              <w:rPr>
                <w:rFonts w:ascii="Calibri" w:hAnsi="Calibri"/>
                <w:sz w:val="20"/>
                <w:szCs w:val="20"/>
              </w:rPr>
              <w:t xml:space="preserve"> </w:t>
            </w:r>
            <w:r w:rsidRPr="00B72EBF">
              <w:rPr>
                <w:rFonts w:ascii="Calibri" w:hAnsi="Calibri"/>
                <w:sz w:val="20"/>
                <w:szCs w:val="20"/>
              </w:rPr>
              <w:t>Ditzelfde geldt bijvoorbeeld voor een koffiehoekje in een modewinkel.</w:t>
            </w:r>
          </w:p>
          <w:p w14:paraId="5B756A01" w14:textId="4BCD35EE" w:rsidR="00C227EB" w:rsidRDefault="00B72EBF" w:rsidP="00C227EB">
            <w:pPr>
              <w:rPr>
                <w:rFonts w:ascii="Calibri" w:hAnsi="Calibri"/>
                <w:sz w:val="20"/>
                <w:szCs w:val="20"/>
              </w:rPr>
            </w:pPr>
            <w:r w:rsidRPr="00B72EBF">
              <w:rPr>
                <w:rFonts w:ascii="Calibri" w:hAnsi="Calibri"/>
                <w:sz w:val="20"/>
                <w:szCs w:val="20"/>
              </w:rPr>
              <w:t>Een compleet restaurant of lunchroom met -nota bene- een eigen substan</w:t>
            </w:r>
            <w:r>
              <w:rPr>
                <w:rFonts w:ascii="Calibri" w:hAnsi="Calibri"/>
                <w:sz w:val="20"/>
                <w:szCs w:val="20"/>
              </w:rPr>
              <w:t xml:space="preserve">tiële omzet – in </w:t>
            </w:r>
            <w:r w:rsidRPr="00B72EBF">
              <w:rPr>
                <w:rFonts w:ascii="Calibri" w:hAnsi="Calibri"/>
                <w:sz w:val="20"/>
                <w:szCs w:val="20"/>
              </w:rPr>
              <w:t>bijvoorbeeld Ikea of de Hema wordt daarentegen niet tot het WVO gerekend.</w:t>
            </w:r>
            <w:r>
              <w:rPr>
                <w:rFonts w:ascii="Calibri" w:hAnsi="Calibri"/>
                <w:sz w:val="20"/>
                <w:szCs w:val="20"/>
              </w:rPr>
              <w:t xml:space="preserve"> </w:t>
            </w:r>
            <w:r w:rsidRPr="00B72EBF">
              <w:rPr>
                <w:rFonts w:ascii="Calibri" w:hAnsi="Calibri"/>
                <w:sz w:val="20"/>
                <w:szCs w:val="20"/>
              </w:rPr>
              <w:t>Het WVO dient op een hoogte van 150 cm te worden ingemeten. Alle ruimten die lager zijn dan</w:t>
            </w:r>
            <w:r>
              <w:rPr>
                <w:rFonts w:ascii="Calibri" w:hAnsi="Calibri"/>
                <w:sz w:val="20"/>
                <w:szCs w:val="20"/>
              </w:rPr>
              <w:t xml:space="preserve"> </w:t>
            </w:r>
            <w:r w:rsidRPr="00B72EBF">
              <w:rPr>
                <w:rFonts w:ascii="Calibri" w:hAnsi="Calibri"/>
                <w:sz w:val="20"/>
                <w:szCs w:val="20"/>
              </w:rPr>
              <w:t>150 cm (schuine daken en lage kelders</w:t>
            </w:r>
            <w:r w:rsidR="00781B8F">
              <w:rPr>
                <w:rFonts w:ascii="Calibri" w:hAnsi="Calibri"/>
                <w:sz w:val="20"/>
                <w:szCs w:val="20"/>
              </w:rPr>
              <w:t>) worden niet als WVO beschouwd</w:t>
            </w:r>
          </w:p>
          <w:p w14:paraId="02D0498F" w14:textId="77777777" w:rsidR="00D00705" w:rsidRPr="00314D0E" w:rsidRDefault="00D00705" w:rsidP="00D00705">
            <w:pPr>
              <w:spacing w:after="0" w:line="240" w:lineRule="auto"/>
            </w:pPr>
            <w:r w:rsidRPr="00314D0E">
              <w:t>Tot het winkelvloeroppervlak wordt gerekend:</w:t>
            </w:r>
          </w:p>
          <w:p w14:paraId="0BA2AA8D" w14:textId="77777777" w:rsidR="00D00705" w:rsidRPr="00314D0E" w:rsidRDefault="00D00705" w:rsidP="00D00705">
            <w:pPr>
              <w:numPr>
                <w:ilvl w:val="0"/>
                <w:numId w:val="2"/>
              </w:numPr>
              <w:spacing w:after="0" w:line="240" w:lineRule="auto"/>
            </w:pPr>
            <w:r w:rsidRPr="00314D0E">
              <w:t>Paskamers;</w:t>
            </w:r>
          </w:p>
          <w:p w14:paraId="7A758E28" w14:textId="77777777" w:rsidR="00D00705" w:rsidRPr="00314D0E" w:rsidRDefault="00D00705" w:rsidP="00D00705">
            <w:pPr>
              <w:numPr>
                <w:ilvl w:val="0"/>
                <w:numId w:val="2"/>
              </w:numPr>
              <w:spacing w:after="0" w:line="240" w:lineRule="auto"/>
            </w:pPr>
            <w:r w:rsidRPr="00314D0E">
              <w:t>Etalages onderdeel van de binnenruimten en hoger dan 1,5 meter;</w:t>
            </w:r>
          </w:p>
          <w:p w14:paraId="0ADB8871" w14:textId="77777777" w:rsidR="00D00705" w:rsidRPr="00314D0E" w:rsidRDefault="00D00705" w:rsidP="00D00705">
            <w:pPr>
              <w:numPr>
                <w:ilvl w:val="0"/>
                <w:numId w:val="2"/>
              </w:numPr>
              <w:spacing w:after="0" w:line="240" w:lineRule="auto"/>
            </w:pPr>
            <w:r w:rsidRPr="00314D0E">
              <w:t>Ruimte voor winkelwagentjes;</w:t>
            </w:r>
          </w:p>
          <w:p w14:paraId="230DFB3E" w14:textId="77777777" w:rsidR="00D00705" w:rsidRPr="00314D0E" w:rsidRDefault="00D00705" w:rsidP="00D00705">
            <w:pPr>
              <w:numPr>
                <w:ilvl w:val="0"/>
                <w:numId w:val="2"/>
              </w:numPr>
              <w:spacing w:after="0" w:line="240" w:lineRule="auto"/>
            </w:pPr>
            <w:r w:rsidRPr="00314D0E">
              <w:t>Entreeruimten;</w:t>
            </w:r>
          </w:p>
          <w:p w14:paraId="6A6C4918" w14:textId="77777777" w:rsidR="00D00705" w:rsidRPr="00314D0E" w:rsidRDefault="00D00705" w:rsidP="00D00705">
            <w:pPr>
              <w:numPr>
                <w:ilvl w:val="0"/>
                <w:numId w:val="2"/>
              </w:numPr>
              <w:spacing w:after="0" w:line="240" w:lineRule="auto"/>
            </w:pPr>
            <w:r w:rsidRPr="00314D0E">
              <w:t>Ruimte achter de toonbank;</w:t>
            </w:r>
          </w:p>
          <w:p w14:paraId="573D1A2C" w14:textId="77777777" w:rsidR="00D00705" w:rsidRPr="00314D0E" w:rsidRDefault="00D00705" w:rsidP="00D00705">
            <w:pPr>
              <w:numPr>
                <w:ilvl w:val="0"/>
                <w:numId w:val="2"/>
              </w:numPr>
              <w:spacing w:after="0" w:line="240" w:lineRule="auto"/>
            </w:pPr>
            <w:r w:rsidRPr="00314D0E">
              <w:t>Vitrines</w:t>
            </w:r>
          </w:p>
          <w:p w14:paraId="5E21FEDF" w14:textId="77777777" w:rsidR="00D00705" w:rsidRPr="00314D0E" w:rsidRDefault="00D00705" w:rsidP="00D00705">
            <w:pPr>
              <w:numPr>
                <w:ilvl w:val="0"/>
                <w:numId w:val="2"/>
              </w:numPr>
              <w:spacing w:after="0" w:line="240" w:lineRule="auto"/>
            </w:pPr>
            <w:r w:rsidRPr="00314D0E">
              <w:t>Schapruimte in het verkoopgedeelte</w:t>
            </w:r>
          </w:p>
          <w:p w14:paraId="593B98A3" w14:textId="77777777" w:rsidR="00D00705" w:rsidRPr="00314D0E" w:rsidRDefault="00D00705" w:rsidP="00D00705">
            <w:pPr>
              <w:numPr>
                <w:ilvl w:val="0"/>
                <w:numId w:val="2"/>
              </w:numPr>
              <w:spacing w:after="0" w:line="240" w:lineRule="auto"/>
            </w:pPr>
            <w:r w:rsidRPr="00314D0E">
              <w:t>Ruimte achter de kassa in supermarkten</w:t>
            </w:r>
          </w:p>
          <w:p w14:paraId="40716F57" w14:textId="77777777" w:rsidR="00743FA3" w:rsidRPr="00781B8F" w:rsidRDefault="00743FA3" w:rsidP="00781B8F">
            <w:pPr>
              <w:spacing w:after="0" w:line="240" w:lineRule="auto"/>
              <w:ind w:left="720"/>
              <w:rPr>
                <w:rFonts w:ascii="Calibri" w:hAnsi="Calibri"/>
                <w:sz w:val="20"/>
                <w:szCs w:val="20"/>
              </w:rPr>
            </w:pPr>
          </w:p>
          <w:p w14:paraId="452E9C8D" w14:textId="77777777" w:rsidR="00D00705" w:rsidRPr="00314D0E" w:rsidRDefault="00D00705" w:rsidP="00D00705">
            <w:pPr>
              <w:spacing w:after="0" w:line="240" w:lineRule="auto"/>
            </w:pPr>
            <w:r w:rsidRPr="00314D0E">
              <w:t>Niet tot het winkelvloeroppervlak wordt in ieder geval gerekend:</w:t>
            </w:r>
          </w:p>
          <w:p w14:paraId="2838A411" w14:textId="77777777" w:rsidR="00D00705" w:rsidRPr="00314D0E" w:rsidRDefault="00D00705" w:rsidP="00D00705">
            <w:pPr>
              <w:numPr>
                <w:ilvl w:val="0"/>
                <w:numId w:val="2"/>
              </w:numPr>
              <w:spacing w:after="0" w:line="240" w:lineRule="auto"/>
            </w:pPr>
            <w:r w:rsidRPr="00314D0E">
              <w:t>Opslagruimte, kantoorruimte en magazijnruimte indien niet voor het publiek toegankelijk;</w:t>
            </w:r>
          </w:p>
          <w:p w14:paraId="1FFAE7A9" w14:textId="77777777" w:rsidR="00D00705" w:rsidRPr="00314D0E" w:rsidRDefault="00D00705" w:rsidP="00D00705">
            <w:pPr>
              <w:numPr>
                <w:ilvl w:val="0"/>
                <w:numId w:val="2"/>
              </w:numPr>
              <w:spacing w:after="0" w:line="240" w:lineRule="auto"/>
            </w:pPr>
            <w:r w:rsidRPr="00314D0E">
              <w:t>Toilet en keukenruimte;</w:t>
            </w:r>
          </w:p>
          <w:p w14:paraId="7795FCCF" w14:textId="77777777" w:rsidR="00D00705" w:rsidRPr="00314D0E" w:rsidRDefault="00D00705" w:rsidP="00D00705">
            <w:pPr>
              <w:numPr>
                <w:ilvl w:val="0"/>
                <w:numId w:val="2"/>
              </w:numPr>
              <w:spacing w:after="0" w:line="240" w:lineRule="auto"/>
            </w:pPr>
            <w:r w:rsidRPr="00314D0E">
              <w:t>Kantineruimte;</w:t>
            </w:r>
          </w:p>
          <w:p w14:paraId="501076CD" w14:textId="77777777" w:rsidR="00D00705" w:rsidRPr="00314D0E" w:rsidRDefault="00D00705" w:rsidP="00D00705">
            <w:pPr>
              <w:numPr>
                <w:ilvl w:val="0"/>
                <w:numId w:val="2"/>
              </w:numPr>
              <w:spacing w:after="0" w:line="240" w:lineRule="auto"/>
            </w:pPr>
            <w:r w:rsidRPr="00314D0E">
              <w:t>Alle ruimten die aan weersinvloeden onderhevig zijn (portiekruimte, ruimte onder een</w:t>
            </w:r>
            <w:r>
              <w:t xml:space="preserve"> </w:t>
            </w:r>
            <w:r w:rsidRPr="00314D0E">
              <w:t>afdak en dergelijke);</w:t>
            </w:r>
          </w:p>
          <w:p w14:paraId="22AA7C01" w14:textId="77777777" w:rsidR="00D00705" w:rsidRPr="00314D0E" w:rsidRDefault="00D00705" w:rsidP="00D00705">
            <w:pPr>
              <w:numPr>
                <w:ilvl w:val="0"/>
                <w:numId w:val="3"/>
              </w:numPr>
              <w:spacing w:after="0" w:line="240" w:lineRule="auto"/>
            </w:pPr>
            <w:r w:rsidRPr="00314D0E">
              <w:t>Klantenserviceruimte;</w:t>
            </w:r>
          </w:p>
          <w:p w14:paraId="0163EA90" w14:textId="77777777" w:rsidR="00D00705" w:rsidRPr="00314D0E" w:rsidRDefault="00D00705" w:rsidP="00D00705">
            <w:pPr>
              <w:numPr>
                <w:ilvl w:val="0"/>
                <w:numId w:val="3"/>
              </w:numPr>
              <w:spacing w:after="0" w:line="240" w:lineRule="auto"/>
            </w:pPr>
            <w:r w:rsidRPr="00314D0E">
              <w:t>Productieruimte en reparatieruimte indien niet voor het publiek toegankelijk;</w:t>
            </w:r>
          </w:p>
          <w:p w14:paraId="712A52A1" w14:textId="77777777" w:rsidR="00D00705" w:rsidRDefault="00D00705" w:rsidP="00D00705">
            <w:pPr>
              <w:numPr>
                <w:ilvl w:val="0"/>
                <w:numId w:val="3"/>
              </w:numPr>
              <w:spacing w:after="0" w:line="240" w:lineRule="auto"/>
            </w:pPr>
            <w:r w:rsidRPr="00314D0E">
              <w:t>Liftkokers en trapgaten (uitsparingen);</w:t>
            </w:r>
          </w:p>
          <w:p w14:paraId="7FB0CCCB" w14:textId="77777777" w:rsidR="00D00705" w:rsidRDefault="00D00705" w:rsidP="00D00705">
            <w:pPr>
              <w:numPr>
                <w:ilvl w:val="0"/>
                <w:numId w:val="3"/>
              </w:numPr>
              <w:spacing w:after="0" w:line="240" w:lineRule="auto"/>
            </w:pPr>
            <w:r w:rsidRPr="00314D0E">
              <w:t>Afgesloten diepvries en koelruimten.</w:t>
            </w:r>
          </w:p>
          <w:p w14:paraId="07E41995" w14:textId="728075A8" w:rsidR="00743FA3" w:rsidRPr="0014597D" w:rsidRDefault="00743FA3" w:rsidP="00D00705">
            <w:pPr>
              <w:pStyle w:val="Lijstalinea"/>
              <w:spacing w:after="0" w:line="240" w:lineRule="auto"/>
              <w:rPr>
                <w:rFonts w:ascii="Calibri" w:hAnsi="Calibri"/>
                <w:sz w:val="20"/>
                <w:szCs w:val="20"/>
              </w:rPr>
            </w:pPr>
          </w:p>
        </w:tc>
      </w:tr>
      <w:tr w:rsidR="00743FA3" w:rsidRPr="0014597D" w14:paraId="2406BC38" w14:textId="77777777" w:rsidTr="001D0ACE">
        <w:trPr>
          <w:trHeight w:val="302"/>
        </w:trPr>
        <w:tc>
          <w:tcPr>
            <w:tcW w:w="9103" w:type="dxa"/>
            <w:noWrap/>
          </w:tcPr>
          <w:p w14:paraId="66ED7514" w14:textId="77777777" w:rsidR="00743FA3" w:rsidRPr="0014597D" w:rsidRDefault="00743FA3" w:rsidP="00D048AC">
            <w:pPr>
              <w:rPr>
                <w:rFonts w:ascii="Calibri" w:hAnsi="Calibri"/>
                <w:b/>
                <w:sz w:val="20"/>
                <w:szCs w:val="20"/>
              </w:rPr>
            </w:pPr>
            <w:r w:rsidRPr="0014597D">
              <w:rPr>
                <w:rFonts w:ascii="Calibri" w:hAnsi="Calibri"/>
                <w:b/>
                <w:sz w:val="20"/>
                <w:szCs w:val="20"/>
              </w:rPr>
              <w:t>WVO wordt gebruikt in de volgende situaties:</w:t>
            </w:r>
          </w:p>
          <w:p w14:paraId="3EB1602D" w14:textId="77777777" w:rsidR="00743FA3" w:rsidRPr="0014597D" w:rsidRDefault="00743FA3" w:rsidP="00743FA3">
            <w:pPr>
              <w:pStyle w:val="Lijstalinea"/>
              <w:numPr>
                <w:ilvl w:val="0"/>
                <w:numId w:val="5"/>
              </w:numPr>
              <w:spacing w:after="0" w:line="240" w:lineRule="auto"/>
              <w:rPr>
                <w:rFonts w:ascii="Calibri" w:hAnsi="Calibri"/>
                <w:sz w:val="20"/>
                <w:szCs w:val="20"/>
              </w:rPr>
            </w:pPr>
            <w:r w:rsidRPr="0014597D">
              <w:rPr>
                <w:rFonts w:ascii="Calibri" w:hAnsi="Calibri"/>
                <w:sz w:val="20"/>
                <w:szCs w:val="20"/>
              </w:rPr>
              <w:t>Berekening netto vloerproductiviteit om functioneren winkel te monitoren</w:t>
            </w:r>
          </w:p>
          <w:p w14:paraId="35C36502" w14:textId="77777777" w:rsidR="00743FA3" w:rsidRPr="0014597D" w:rsidRDefault="00743FA3" w:rsidP="00743FA3">
            <w:pPr>
              <w:pStyle w:val="Lijstalinea"/>
              <w:numPr>
                <w:ilvl w:val="0"/>
                <w:numId w:val="5"/>
              </w:numPr>
              <w:spacing w:after="0" w:line="240" w:lineRule="auto"/>
              <w:rPr>
                <w:rFonts w:ascii="Calibri" w:hAnsi="Calibri"/>
                <w:sz w:val="20"/>
                <w:szCs w:val="20"/>
              </w:rPr>
            </w:pPr>
            <w:r w:rsidRPr="0014597D">
              <w:rPr>
                <w:rFonts w:ascii="Calibri" w:hAnsi="Calibri"/>
                <w:sz w:val="20"/>
                <w:szCs w:val="20"/>
              </w:rPr>
              <w:t>Benchmarken retailers</w:t>
            </w:r>
          </w:p>
        </w:tc>
      </w:tr>
      <w:tr w:rsidR="00743FA3" w:rsidRPr="0014597D" w14:paraId="672C0E5E" w14:textId="77777777" w:rsidTr="001D0ACE">
        <w:trPr>
          <w:trHeight w:val="1349"/>
        </w:trPr>
        <w:tc>
          <w:tcPr>
            <w:tcW w:w="9103" w:type="dxa"/>
            <w:noWrap/>
          </w:tcPr>
          <w:p w14:paraId="316F768E" w14:textId="77777777" w:rsidR="00743FA3" w:rsidRPr="0014597D" w:rsidRDefault="00743FA3" w:rsidP="00D048AC">
            <w:pPr>
              <w:rPr>
                <w:rFonts w:ascii="Calibri" w:hAnsi="Calibri"/>
                <w:b/>
                <w:sz w:val="20"/>
                <w:szCs w:val="20"/>
              </w:rPr>
            </w:pPr>
            <w:r w:rsidRPr="0014597D">
              <w:rPr>
                <w:rFonts w:ascii="Calibri" w:hAnsi="Calibri"/>
                <w:b/>
                <w:sz w:val="20"/>
                <w:szCs w:val="20"/>
              </w:rPr>
              <w:t>Aandachtspunten:</w:t>
            </w:r>
          </w:p>
          <w:p w14:paraId="4D62ED07" w14:textId="2CBDC248" w:rsidR="001D0ACE" w:rsidRPr="001D0ACE" w:rsidRDefault="00743FA3" w:rsidP="00D048AC">
            <w:pPr>
              <w:pStyle w:val="Lijstalinea"/>
              <w:numPr>
                <w:ilvl w:val="0"/>
                <w:numId w:val="8"/>
              </w:numPr>
              <w:spacing w:after="0" w:line="240" w:lineRule="auto"/>
              <w:rPr>
                <w:rFonts w:ascii="Calibri" w:hAnsi="Calibri"/>
                <w:sz w:val="20"/>
                <w:szCs w:val="20"/>
              </w:rPr>
            </w:pPr>
            <w:r w:rsidRPr="0014597D">
              <w:rPr>
                <w:rFonts w:ascii="Calibri" w:hAnsi="Calibri"/>
                <w:sz w:val="20"/>
                <w:szCs w:val="20"/>
              </w:rPr>
              <w:t>Gelet op blurring met name toevoeging van horeca rekent Locatus de ruimte van de horeca in een winkel mits deze een apart afrekenpunt heeft niet mee in het WVO. In de toekomst zal Locatus ook het WVO van horeca gaan meten.</w:t>
            </w:r>
          </w:p>
        </w:tc>
      </w:tr>
    </w:tbl>
    <w:p w14:paraId="7EE8B3A4" w14:textId="77777777" w:rsidR="00B72EBF" w:rsidRDefault="00B72EBF">
      <w:pPr>
        <w:rPr>
          <w:rFonts w:ascii="Calibri" w:hAnsi="Calibri"/>
          <w:b/>
          <w:noProof/>
          <w:sz w:val="20"/>
          <w:szCs w:val="20"/>
          <w:lang w:eastAsia="nl-NL"/>
        </w:rPr>
      </w:pPr>
    </w:p>
    <w:p w14:paraId="40409BC1" w14:textId="77777777" w:rsidR="00B72EBF" w:rsidRDefault="00B72EBF">
      <w:pPr>
        <w:rPr>
          <w:rFonts w:ascii="Calibri" w:hAnsi="Calibri"/>
          <w:b/>
          <w:noProof/>
          <w:sz w:val="20"/>
          <w:szCs w:val="20"/>
          <w:lang w:eastAsia="nl-NL"/>
        </w:rPr>
      </w:pPr>
    </w:p>
    <w:p w14:paraId="1A9AC022" w14:textId="77777777" w:rsidR="00781B8F" w:rsidRDefault="00781B8F">
      <w:pPr>
        <w:rPr>
          <w:rFonts w:ascii="Calibri" w:hAnsi="Calibri"/>
          <w:b/>
          <w:noProof/>
          <w:sz w:val="20"/>
          <w:szCs w:val="20"/>
          <w:lang w:eastAsia="nl-NL"/>
        </w:rPr>
      </w:pPr>
    </w:p>
    <w:p w14:paraId="797BC4DF" w14:textId="77777777" w:rsidR="00781B8F" w:rsidRDefault="00781B8F">
      <w:pPr>
        <w:rPr>
          <w:rFonts w:ascii="Calibri" w:hAnsi="Calibri"/>
          <w:b/>
          <w:noProof/>
          <w:sz w:val="20"/>
          <w:szCs w:val="20"/>
          <w:lang w:eastAsia="nl-NL"/>
        </w:rPr>
      </w:pPr>
    </w:p>
    <w:p w14:paraId="69EFA41C" w14:textId="0A8E6A86" w:rsidR="00781B8F" w:rsidRPr="001D0ACE" w:rsidRDefault="00781B8F">
      <w:pPr>
        <w:rPr>
          <w:rFonts w:ascii="Calibri" w:hAnsi="Calibri"/>
          <w:b/>
          <w:noProof/>
          <w:sz w:val="20"/>
          <w:szCs w:val="20"/>
          <w:lang w:eastAsia="nl-NL"/>
        </w:rPr>
      </w:pPr>
      <w:r w:rsidRPr="0014597D">
        <w:rPr>
          <w:rFonts w:ascii="Calibri" w:hAnsi="Calibri"/>
          <w:b/>
          <w:noProof/>
          <w:sz w:val="20"/>
          <w:szCs w:val="20"/>
          <w:lang w:eastAsia="nl-NL"/>
        </w:rPr>
        <w:drawing>
          <wp:inline distT="0" distB="0" distL="0" distR="0" wp14:anchorId="72F982EF" wp14:editId="6920F093">
            <wp:extent cx="559435" cy="559435"/>
            <wp:effectExtent l="0" t="0" r="0" b="0"/>
            <wp:docPr id="1" name="Afbeelding 1" descr="C:\Users\HannekeR\Desktop\Retail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keR\Desktop\Retailagenda.jpg"/>
                    <pic:cNvPicPr>
                      <a:picLocks noChangeAspect="1" noChangeArrowheads="1"/>
                    </pic:cNvPicPr>
                  </pic:nvPicPr>
                  <pic:blipFill>
                    <a:blip r:embed="rId6" cstate="print"/>
                    <a:srcRect/>
                    <a:stretch>
                      <a:fillRect/>
                    </a:stretch>
                  </pic:blipFill>
                  <pic:spPr bwMode="auto">
                    <a:xfrm>
                      <a:off x="0" y="0"/>
                      <a:ext cx="559241" cy="559241"/>
                    </a:xfrm>
                    <a:prstGeom prst="rect">
                      <a:avLst/>
                    </a:prstGeom>
                    <a:noFill/>
                    <a:ln w="9525">
                      <a:noFill/>
                      <a:miter lim="800000"/>
                      <a:headEnd/>
                      <a:tailEnd/>
                    </a:ln>
                  </pic:spPr>
                </pic:pic>
              </a:graphicData>
            </a:graphic>
          </wp:inline>
        </w:drawing>
      </w:r>
      <w:r w:rsidRPr="00B72EBF">
        <w:rPr>
          <w:rFonts w:ascii="Calibri" w:hAnsi="Calibri"/>
          <w:b/>
          <w:noProof/>
          <w:sz w:val="20"/>
          <w:szCs w:val="20"/>
          <w:lang w:eastAsia="nl-NL"/>
        </w:rPr>
        <w:t xml:space="preserve"> </w:t>
      </w:r>
      <w:r w:rsidRPr="0014597D">
        <w:rPr>
          <w:rFonts w:ascii="Calibri" w:hAnsi="Calibri"/>
          <w:b/>
          <w:noProof/>
          <w:sz w:val="20"/>
          <w:szCs w:val="20"/>
          <w:lang w:eastAsia="nl-NL"/>
        </w:rPr>
        <w:drawing>
          <wp:inline distT="0" distB="0" distL="0" distR="0" wp14:anchorId="2FBA2B05" wp14:editId="14111CB6">
            <wp:extent cx="674508" cy="496570"/>
            <wp:effectExtent l="0" t="0" r="11430" b="11430"/>
            <wp:docPr id="2" name="Afbeelding 2" descr="../../Bijeenkomsten/Middagcongres%20juli/Persbericht/DEF/INreta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eenkomsten/Middagcongres%20juli/Persbericht/DEF/INretail.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781" cy="518857"/>
                    </a:xfrm>
                    <a:prstGeom prst="rect">
                      <a:avLst/>
                    </a:prstGeom>
                    <a:noFill/>
                    <a:ln>
                      <a:noFill/>
                    </a:ln>
                  </pic:spPr>
                </pic:pic>
              </a:graphicData>
            </a:graphic>
          </wp:inline>
        </w:drawing>
      </w:r>
      <w:r w:rsidRPr="0014597D">
        <w:rPr>
          <w:rFonts w:ascii="Calibri" w:hAnsi="Calibri"/>
          <w:b/>
          <w:noProof/>
          <w:sz w:val="20"/>
          <w:szCs w:val="20"/>
          <w:lang w:eastAsia="nl-NL"/>
        </w:rPr>
        <w:drawing>
          <wp:inline distT="0" distB="0" distL="0" distR="0" wp14:anchorId="6F8726F0" wp14:editId="2EEDC790">
            <wp:extent cx="521335" cy="521335"/>
            <wp:effectExtent l="0" t="0" r="12065" b="12065"/>
            <wp:docPr id="7" name="Afbeelding 7" descr="../../Bijeenkomsten/Middagcongres%20juli/Persbericht/DEF/N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jeenkomsten/Middagcongres%20juli/Persbericht/DEF/NR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521335"/>
                    </a:xfrm>
                    <a:prstGeom prst="rect">
                      <a:avLst/>
                    </a:prstGeom>
                    <a:noFill/>
                    <a:ln>
                      <a:noFill/>
                    </a:ln>
                  </pic:spPr>
                </pic:pic>
              </a:graphicData>
            </a:graphic>
          </wp:inline>
        </w:drawing>
      </w:r>
      <w:r w:rsidRPr="0014597D">
        <w:rPr>
          <w:rFonts w:ascii="Calibri" w:hAnsi="Calibri"/>
          <w:b/>
          <w:noProof/>
          <w:sz w:val="20"/>
          <w:szCs w:val="20"/>
          <w:lang w:eastAsia="nl-NL"/>
        </w:rPr>
        <w:drawing>
          <wp:inline distT="0" distB="0" distL="0" distR="0" wp14:anchorId="730DBB3F" wp14:editId="70D55B37">
            <wp:extent cx="1016635" cy="491787"/>
            <wp:effectExtent l="0" t="0" r="0" b="0"/>
            <wp:docPr id="8" name="Afbeelding 8" descr="../../Bijeenkomsten/Middagcongres%20juli/Persbericht/DEF/ivb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jeenkomsten/Middagcongres%20juli/Persbericht/DEF/ivbn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270" cy="510476"/>
                    </a:xfrm>
                    <a:prstGeom prst="rect">
                      <a:avLst/>
                    </a:prstGeom>
                    <a:noFill/>
                    <a:ln>
                      <a:noFill/>
                    </a:ln>
                  </pic:spPr>
                </pic:pic>
              </a:graphicData>
            </a:graphic>
          </wp:inline>
        </w:drawing>
      </w:r>
      <w:r w:rsidRPr="0014597D">
        <w:rPr>
          <w:rFonts w:ascii="Calibri" w:hAnsi="Calibri"/>
          <w:b/>
          <w:noProof/>
          <w:sz w:val="20"/>
          <w:szCs w:val="20"/>
          <w:lang w:eastAsia="nl-NL"/>
        </w:rPr>
        <w:drawing>
          <wp:inline distT="0" distB="0" distL="0" distR="0" wp14:anchorId="44194C95" wp14:editId="199BD6DC">
            <wp:extent cx="973835" cy="541020"/>
            <wp:effectExtent l="0" t="0" r="0" b="0"/>
            <wp:docPr id="9" name="Afbeelding 9" descr="../../Bijeenkomsten/Middagcongres%20juli/Persbericht/DEF/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jeenkomsten/Middagcongres%20juli/Persbericht/DEF/N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145" cy="550081"/>
                    </a:xfrm>
                    <a:prstGeom prst="rect">
                      <a:avLst/>
                    </a:prstGeom>
                    <a:noFill/>
                    <a:ln>
                      <a:noFill/>
                    </a:ln>
                  </pic:spPr>
                </pic:pic>
              </a:graphicData>
            </a:graphic>
          </wp:inline>
        </w:drawing>
      </w:r>
    </w:p>
    <w:sectPr w:rsidR="00781B8F" w:rsidRPr="001D0ACE" w:rsidSect="00861A2C">
      <w:pgSz w:w="11906" w:h="16838"/>
      <w:pgMar w:top="2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153"/>
    <w:multiLevelType w:val="hybridMultilevel"/>
    <w:tmpl w:val="ED3A6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9C39E0"/>
    <w:multiLevelType w:val="hybridMultilevel"/>
    <w:tmpl w:val="F9108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1825B5"/>
    <w:multiLevelType w:val="hybridMultilevel"/>
    <w:tmpl w:val="BAA61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800CE"/>
    <w:multiLevelType w:val="hybridMultilevel"/>
    <w:tmpl w:val="20BE921C"/>
    <w:lvl w:ilvl="0" w:tplc="E52C833E">
      <w:start w:val="1"/>
      <w:numFmt w:val="bullet"/>
      <w:lvlText w:val="-"/>
      <w:lvlJc w:val="left"/>
      <w:pPr>
        <w:ind w:left="360" w:hanging="360"/>
      </w:pPr>
      <w:rPr>
        <w:rFonts w:asciiTheme="minorHAnsi" w:hAnsi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970739"/>
    <w:multiLevelType w:val="hybridMultilevel"/>
    <w:tmpl w:val="C2C0CF7C"/>
    <w:lvl w:ilvl="0" w:tplc="93DC01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532BB6"/>
    <w:multiLevelType w:val="hybridMultilevel"/>
    <w:tmpl w:val="630C3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CB14ED"/>
    <w:multiLevelType w:val="hybridMultilevel"/>
    <w:tmpl w:val="189CA18A"/>
    <w:lvl w:ilvl="0" w:tplc="93DC01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6A6F05"/>
    <w:multiLevelType w:val="hybridMultilevel"/>
    <w:tmpl w:val="C02E47CA"/>
    <w:lvl w:ilvl="0" w:tplc="93DC01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46595E"/>
    <w:multiLevelType w:val="hybridMultilevel"/>
    <w:tmpl w:val="796EE1FC"/>
    <w:lvl w:ilvl="0" w:tplc="93DC016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F04739"/>
    <w:multiLevelType w:val="hybridMultilevel"/>
    <w:tmpl w:val="1D3C1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3C2DC0"/>
    <w:multiLevelType w:val="hybridMultilevel"/>
    <w:tmpl w:val="D7CE8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FE62281"/>
    <w:multiLevelType w:val="hybridMultilevel"/>
    <w:tmpl w:val="D9F046E4"/>
    <w:lvl w:ilvl="0" w:tplc="E52C833E">
      <w:start w:val="1"/>
      <w:numFmt w:val="bullet"/>
      <w:lvlText w:val="-"/>
      <w:lvlJc w:val="left"/>
      <w:pPr>
        <w:ind w:left="360" w:hanging="360"/>
      </w:pPr>
      <w:rPr>
        <w:rFonts w:asciiTheme="minorHAnsi" w:hAnsi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237BB5"/>
    <w:multiLevelType w:val="hybridMultilevel"/>
    <w:tmpl w:val="2CA408B6"/>
    <w:lvl w:ilvl="0" w:tplc="E52C833E">
      <w:start w:val="1"/>
      <w:numFmt w:val="bullet"/>
      <w:lvlText w:val="-"/>
      <w:lvlJc w:val="left"/>
      <w:pPr>
        <w:ind w:left="360" w:hanging="360"/>
      </w:pPr>
      <w:rPr>
        <w:rFonts w:asciiTheme="minorHAnsi" w:hAnsi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2"/>
  </w:num>
  <w:num w:numId="7">
    <w:abstractNumId w:val="5"/>
  </w:num>
  <w:num w:numId="8">
    <w:abstractNumId w:val="0"/>
  </w:num>
  <w:num w:numId="9">
    <w:abstractNumId w:val="10"/>
  </w:num>
  <w:num w:numId="10">
    <w:abstractNumId w:val="11"/>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3F"/>
    <w:rsid w:val="00014799"/>
    <w:rsid w:val="001233E3"/>
    <w:rsid w:val="001D0ACE"/>
    <w:rsid w:val="0030663F"/>
    <w:rsid w:val="004207FA"/>
    <w:rsid w:val="004B6A4F"/>
    <w:rsid w:val="00545D83"/>
    <w:rsid w:val="0061468C"/>
    <w:rsid w:val="00647F54"/>
    <w:rsid w:val="00743FA3"/>
    <w:rsid w:val="00781B8F"/>
    <w:rsid w:val="0084524B"/>
    <w:rsid w:val="009D03B6"/>
    <w:rsid w:val="00A112BE"/>
    <w:rsid w:val="00A754F6"/>
    <w:rsid w:val="00AA0F33"/>
    <w:rsid w:val="00AD5997"/>
    <w:rsid w:val="00B72EBF"/>
    <w:rsid w:val="00C227EB"/>
    <w:rsid w:val="00CB7820"/>
    <w:rsid w:val="00D00705"/>
    <w:rsid w:val="00D75E2C"/>
    <w:rsid w:val="00F17141"/>
    <w:rsid w:val="00F81759"/>
    <w:rsid w:val="00F96820"/>
    <w:rsid w:val="00FB0E0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D10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0663F"/>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0663F"/>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06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gif"/><Relationship Id="rId10"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1200</Words>
  <Characters>6602</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van Baarle</dc:creator>
  <cp:keywords/>
  <dc:description/>
  <cp:lastModifiedBy>Annet van Baarle</cp:lastModifiedBy>
  <cp:revision>10</cp:revision>
  <dcterms:created xsi:type="dcterms:W3CDTF">2017-09-17T12:27:00Z</dcterms:created>
  <dcterms:modified xsi:type="dcterms:W3CDTF">2017-10-03T08:34:00Z</dcterms:modified>
</cp:coreProperties>
</file>